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13" w:rsidRDefault="00E353FC" w:rsidP="00066D13">
      <w:pPr>
        <w:ind w:left="-426"/>
        <w:rPr>
          <w:rFonts w:cs="Tahoma"/>
          <w:color w:val="605D5D"/>
          <w:sz w:val="18"/>
          <w:szCs w:val="18"/>
        </w:rPr>
      </w:pPr>
      <w:r>
        <w:rPr>
          <w:rFonts w:cs="Tahoma"/>
          <w:noProof/>
          <w:color w:val="605D5D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319D34C5" wp14:editId="76FE4414">
            <wp:simplePos x="0" y="0"/>
            <wp:positionH relativeFrom="column">
              <wp:posOffset>4238625</wp:posOffset>
            </wp:positionH>
            <wp:positionV relativeFrom="paragraph">
              <wp:posOffset>-520065</wp:posOffset>
            </wp:positionV>
            <wp:extent cx="1495425" cy="1495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ewi-Logo-(stacked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DE1">
        <w:rPr>
          <w:rFonts w:cs="Tahoma"/>
          <w:b/>
          <w:color w:val="7FBA00"/>
          <w:sz w:val="52"/>
          <w:szCs w:val="52"/>
        </w:rPr>
        <w:t xml:space="preserve">Community workshops </w:t>
      </w:r>
      <w:r w:rsidR="00066D13">
        <w:rPr>
          <w:rFonts w:cs="Tahoma"/>
          <w:b/>
          <w:color w:val="7FBA00"/>
          <w:sz w:val="52"/>
          <w:szCs w:val="52"/>
        </w:rPr>
        <w:t>availab</w:t>
      </w:r>
      <w:r w:rsidR="002B5F8F">
        <w:rPr>
          <w:rFonts w:cs="Tahoma"/>
          <w:b/>
          <w:color w:val="7FBA00"/>
          <w:sz w:val="52"/>
          <w:szCs w:val="52"/>
        </w:rPr>
        <w:t xml:space="preserve">le for </w:t>
      </w:r>
      <w:r w:rsidR="00907DE1">
        <w:rPr>
          <w:rFonts w:cs="Tahoma"/>
          <w:b/>
          <w:color w:val="7FBA00"/>
          <w:sz w:val="52"/>
          <w:szCs w:val="52"/>
        </w:rPr>
        <w:t xml:space="preserve">children </w:t>
      </w:r>
    </w:p>
    <w:p w:rsidR="00D34649" w:rsidRDefault="00D34649" w:rsidP="00066D13">
      <w:pPr>
        <w:spacing w:after="60"/>
        <w:ind w:left="-426"/>
        <w:jc w:val="both"/>
        <w:rPr>
          <w:rFonts w:cs="Tahoma"/>
          <w:sz w:val="23"/>
          <w:szCs w:val="23"/>
        </w:rPr>
      </w:pPr>
    </w:p>
    <w:p w:rsidR="00D34649" w:rsidRDefault="00D34649" w:rsidP="00907DE1">
      <w:pPr>
        <w:spacing w:after="60"/>
        <w:jc w:val="both"/>
        <w:rPr>
          <w:rFonts w:cs="Tahoma"/>
          <w:sz w:val="23"/>
          <w:szCs w:val="23"/>
        </w:rPr>
      </w:pPr>
    </w:p>
    <w:tbl>
      <w:tblPr>
        <w:tblW w:w="8470" w:type="dxa"/>
        <w:tblInd w:w="250" w:type="dxa"/>
        <w:tblBorders>
          <w:top w:val="single" w:sz="6" w:space="0" w:color="7FBA00"/>
          <w:left w:val="single" w:sz="6" w:space="0" w:color="7FBA00"/>
          <w:bottom w:val="single" w:sz="6" w:space="0" w:color="7FBA00"/>
          <w:right w:val="single" w:sz="6" w:space="0" w:color="7FBA00"/>
          <w:insideH w:val="single" w:sz="6" w:space="0" w:color="7FBA00"/>
          <w:insideV w:val="single" w:sz="6" w:space="0" w:color="7FBA00"/>
        </w:tblBorders>
        <w:tblLook w:val="04A0" w:firstRow="1" w:lastRow="0" w:firstColumn="1" w:lastColumn="0" w:noHBand="0" w:noVBand="1"/>
      </w:tblPr>
      <w:tblGrid>
        <w:gridCol w:w="1418"/>
        <w:gridCol w:w="5777"/>
        <w:gridCol w:w="1275"/>
      </w:tblGrid>
      <w:tr w:rsidR="00907DE1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nil"/>
              <w:right w:val="single" w:sz="6" w:space="0" w:color="FFFFFF" w:themeColor="background1"/>
            </w:tcBorders>
            <w:shd w:val="clear" w:color="auto" w:fill="7FBA00"/>
            <w:hideMark/>
          </w:tcPr>
          <w:p w:rsidR="00907DE1" w:rsidRDefault="00907DE1">
            <w:pPr>
              <w:spacing w:after="60"/>
              <w:jc w:val="both"/>
              <w:rPr>
                <w:rFonts w:cs="Tahoma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cs="Tahoma"/>
                <w:b/>
                <w:color w:val="FFFFFF" w:themeColor="background1"/>
                <w:sz w:val="23"/>
                <w:szCs w:val="23"/>
              </w:rPr>
              <w:t>Name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7FBA00"/>
            <w:hideMark/>
          </w:tcPr>
          <w:p w:rsidR="00907DE1" w:rsidRDefault="00907DE1">
            <w:pPr>
              <w:spacing w:after="60"/>
              <w:jc w:val="both"/>
              <w:rPr>
                <w:rFonts w:cs="Tahoma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cs="Tahoma"/>
                <w:b/>
                <w:color w:val="FFFFFF" w:themeColor="background1"/>
                <w:sz w:val="23"/>
                <w:szCs w:val="23"/>
              </w:rPr>
              <w:t>Brief description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FFFFFF" w:themeColor="background1"/>
              <w:bottom w:val="nil"/>
              <w:right w:val="single" w:sz="6" w:space="0" w:color="7FBA00"/>
            </w:tcBorders>
            <w:shd w:val="clear" w:color="auto" w:fill="7FBA00"/>
            <w:hideMark/>
          </w:tcPr>
          <w:p w:rsidR="00907DE1" w:rsidRDefault="00907DE1">
            <w:pPr>
              <w:spacing w:after="60"/>
              <w:jc w:val="both"/>
              <w:rPr>
                <w:rFonts w:cs="Tahoma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cs="Tahoma"/>
                <w:b/>
                <w:color w:val="FFFFFF" w:themeColor="background1"/>
                <w:sz w:val="23"/>
                <w:szCs w:val="23"/>
              </w:rPr>
              <w:t>Duration</w:t>
            </w:r>
          </w:p>
        </w:tc>
      </w:tr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rPr>
                <w:rFonts w:cs="Tahoma"/>
                <w:b/>
                <w:sz w:val="24"/>
                <w:szCs w:val="24"/>
              </w:rPr>
            </w:pPr>
            <w:r w:rsidRPr="0050203D">
              <w:rPr>
                <w:b/>
                <w:color w:val="000000"/>
                <w:sz w:val="24"/>
                <w:szCs w:val="24"/>
              </w:rPr>
              <w:t>The Rubbish Challenge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 w:rsidP="0032768B">
            <w:pPr>
              <w:spacing w:after="60"/>
              <w:jc w:val="both"/>
              <w:rPr>
                <w:rFonts w:cs="Tahoma"/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>Floor matt game to talk about the 3Rs with the younger ones – its like a giant board game.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 w:rsidP="00AB2BEF">
            <w:pPr>
              <w:spacing w:after="60"/>
              <w:rPr>
                <w:rFonts w:cs="Tahoma"/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30-60 min</w:t>
            </w:r>
          </w:p>
        </w:tc>
      </w:tr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rFonts w:cs="Tahoma"/>
                <w:b/>
                <w:sz w:val="24"/>
                <w:szCs w:val="24"/>
              </w:rPr>
            </w:pPr>
            <w:r w:rsidRPr="0050203D">
              <w:rPr>
                <w:b/>
                <w:sz w:val="24"/>
                <w:szCs w:val="24"/>
              </w:rPr>
              <w:t>Rubbish Relay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 w:rsidP="00907DE1">
            <w:pPr>
              <w:spacing w:after="60"/>
              <w:jc w:val="both"/>
              <w:rPr>
                <w:rFonts w:cs="Tahoma"/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>Rubbish sorting activity to learn the items that can go in Wakefield’s range of</w:t>
            </w:r>
            <w:r>
              <w:rPr>
                <w:sz w:val="24"/>
                <w:szCs w:val="24"/>
              </w:rPr>
              <w:t xml:space="preserve"> bins</w:t>
            </w:r>
            <w:r w:rsidRPr="0050203D">
              <w:rPr>
                <w:sz w:val="24"/>
                <w:szCs w:val="24"/>
              </w:rPr>
              <w:t xml:space="preserve">, what can be composted, sent to charity </w:t>
            </w:r>
            <w:r>
              <w:rPr>
                <w:sz w:val="24"/>
                <w:szCs w:val="24"/>
              </w:rPr>
              <w:t xml:space="preserve">for reuse </w:t>
            </w:r>
            <w:r w:rsidRPr="0050203D">
              <w:rPr>
                <w:sz w:val="24"/>
                <w:szCs w:val="24"/>
              </w:rPr>
              <w:t>or end up in the rubbish bin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 w:rsidP="00AB2BEF">
            <w:pPr>
              <w:spacing w:after="60"/>
              <w:rPr>
                <w:rFonts w:cs="Tahoma"/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20-30 min</w:t>
            </w:r>
          </w:p>
        </w:tc>
      </w:tr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rFonts w:cs="Tahoma"/>
                <w:b/>
                <w:sz w:val="24"/>
                <w:szCs w:val="24"/>
              </w:rPr>
            </w:pPr>
            <w:r w:rsidRPr="0050203D">
              <w:rPr>
                <w:b/>
                <w:sz w:val="24"/>
                <w:szCs w:val="24"/>
              </w:rPr>
              <w:t>Paper Making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 w:rsidP="00B36D70">
            <w:pPr>
              <w:spacing w:after="60"/>
              <w:jc w:val="both"/>
              <w:rPr>
                <w:rFonts w:cs="Tahoma"/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>Shows paper lifecycle and how to recycle paper. Each child can have a go at making their own piece of recycled paper. Note: when delivered to Beavers extra adult support is needed.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 w:rsidP="00AB2BEF">
            <w:pPr>
              <w:spacing w:after="60"/>
              <w:rPr>
                <w:rFonts w:cs="Tahoma"/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About an hour</w:t>
            </w:r>
          </w:p>
        </w:tc>
      </w:tr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the Little Rotters!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>Understand how recycling occurs in nature and (if possible) do some ‘worm chanting’ to look at the creatures involved in composting.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rFonts w:cs="Tahoma"/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30-60 mins</w:t>
            </w:r>
          </w:p>
        </w:tc>
      </w:tr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We can </w:t>
            </w:r>
            <w:r w:rsidRPr="0050203D">
              <w:rPr>
                <w:b/>
                <w:sz w:val="24"/>
                <w:szCs w:val="24"/>
              </w:rPr>
              <w:t>Re-USE!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 w:rsidP="00E13942">
            <w:pPr>
              <w:spacing w:after="60"/>
              <w:jc w:val="both"/>
              <w:rPr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 xml:space="preserve">Explores the second ‘R’ in the waste hierarchy </w:t>
            </w:r>
            <w:r>
              <w:rPr>
                <w:sz w:val="24"/>
                <w:szCs w:val="24"/>
              </w:rPr>
              <w:t>by looking at d</w:t>
            </w:r>
            <w:r w:rsidRPr="0050203D">
              <w:rPr>
                <w:sz w:val="24"/>
                <w:szCs w:val="24"/>
              </w:rPr>
              <w:t>ifferent items</w:t>
            </w:r>
            <w:r>
              <w:rPr>
                <w:sz w:val="24"/>
                <w:szCs w:val="24"/>
              </w:rPr>
              <w:t xml:space="preserve">. Then students have a chance to make something themselves. </w:t>
            </w:r>
            <w:r w:rsidRPr="0050203D">
              <w:rPr>
                <w:sz w:val="24"/>
                <w:szCs w:val="24"/>
              </w:rPr>
              <w:t>Possible links to international scouting by looking at re-use in developing nations.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rFonts w:cs="Tahoma"/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30-60 mins</w:t>
            </w:r>
          </w:p>
        </w:tc>
      </w:tr>
      <w:bookmarkEnd w:id="0"/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Love Food, Hate Waste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rFonts w:cs="Tahoma"/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>Looks at the life cycle of food and how to use the 3Rs to minimise food waste.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rFonts w:cs="Tahoma"/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30-60 mins</w:t>
            </w:r>
          </w:p>
        </w:tc>
      </w:tr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50203D">
              <w:rPr>
                <w:b/>
                <w:sz w:val="24"/>
                <w:szCs w:val="24"/>
              </w:rPr>
              <w:t>Whose rubbish?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  <w:hideMark/>
          </w:tcPr>
          <w:p w:rsidR="00907DE1" w:rsidRPr="0050203D" w:rsidRDefault="00907DE1" w:rsidP="00D55849">
            <w:pPr>
              <w:spacing w:after="60"/>
              <w:jc w:val="both"/>
              <w:rPr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>Hands-on games to increase children’s knowledge of household waste and their understanding of how the 3Rs can help minimise that waste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>
            <w:pPr>
              <w:rPr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About an hour</w:t>
            </w:r>
          </w:p>
        </w:tc>
      </w:tr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 w:rsidP="00C6787C">
            <w:pPr>
              <w:spacing w:after="60"/>
              <w:rPr>
                <w:rFonts w:cs="Tahoma"/>
                <w:b/>
                <w:sz w:val="24"/>
                <w:szCs w:val="24"/>
              </w:rPr>
            </w:pPr>
            <w:r w:rsidRPr="0050203D">
              <w:rPr>
                <w:rFonts w:cs="Tahoma"/>
                <w:b/>
                <w:sz w:val="24"/>
                <w:szCs w:val="24"/>
              </w:rPr>
              <w:t>Closing the Loop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 w:rsidP="00C6787C">
            <w:pPr>
              <w:spacing w:after="60"/>
              <w:jc w:val="both"/>
              <w:rPr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>Shows the relation between waste, recycling and energy use in a fun and interactive way.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>
            <w:pPr>
              <w:rPr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About an hour</w:t>
            </w:r>
          </w:p>
        </w:tc>
      </w:tr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 w:rsidP="00C6787C">
            <w:pPr>
              <w:spacing w:after="60"/>
              <w:jc w:val="both"/>
              <w:rPr>
                <w:rFonts w:cs="Tahoma"/>
                <w:b/>
                <w:sz w:val="24"/>
                <w:szCs w:val="24"/>
              </w:rPr>
            </w:pPr>
            <w:r w:rsidRPr="0050203D">
              <w:rPr>
                <w:rFonts w:cs="Tahoma"/>
                <w:b/>
                <w:sz w:val="24"/>
                <w:szCs w:val="24"/>
              </w:rPr>
              <w:t>WEEE Solution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 w:rsidP="00C6787C">
            <w:pPr>
              <w:spacing w:after="60"/>
              <w:jc w:val="both"/>
              <w:rPr>
                <w:rFonts w:cs="Tahoma"/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>Looks at the fast growing waste stream of electronics and electric equipment. Explores the life cycle of a mobile phones and using the 3Rs to minimise WEEE</w:t>
            </w:r>
            <w:r>
              <w:rPr>
                <w:sz w:val="24"/>
                <w:szCs w:val="24"/>
              </w:rPr>
              <w:t>. Students design a mobile phone.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>
            <w:pPr>
              <w:rPr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About an hour</w:t>
            </w:r>
          </w:p>
        </w:tc>
      </w:tr>
      <w:tr w:rsidR="00907DE1" w:rsidRPr="0050203D" w:rsidTr="00907DE1">
        <w:tc>
          <w:tcPr>
            <w:tcW w:w="1418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 w:rsidP="00C6787C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50203D">
              <w:rPr>
                <w:b/>
                <w:sz w:val="24"/>
                <w:szCs w:val="24"/>
              </w:rPr>
              <w:t>Big Tidy Up</w:t>
            </w:r>
          </w:p>
        </w:tc>
        <w:tc>
          <w:tcPr>
            <w:tcW w:w="5777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 w:rsidP="00907DE1">
            <w:pPr>
              <w:spacing w:after="60"/>
              <w:jc w:val="both"/>
              <w:rPr>
                <w:sz w:val="24"/>
                <w:szCs w:val="24"/>
              </w:rPr>
            </w:pPr>
            <w:r w:rsidRPr="0050203D">
              <w:rPr>
                <w:sz w:val="24"/>
                <w:szCs w:val="24"/>
              </w:rPr>
              <w:t xml:space="preserve">Shows the problems associated with litter and equips children to do a litter pick around the local community.  </w:t>
            </w:r>
          </w:p>
        </w:tc>
        <w:tc>
          <w:tcPr>
            <w:tcW w:w="1275" w:type="dxa"/>
            <w:tcBorders>
              <w:top w:val="single" w:sz="6" w:space="0" w:color="7FBA00"/>
              <w:left w:val="single" w:sz="6" w:space="0" w:color="7FBA00"/>
              <w:bottom w:val="single" w:sz="6" w:space="0" w:color="7FBA00"/>
              <w:right w:val="single" w:sz="6" w:space="0" w:color="7FBA00"/>
            </w:tcBorders>
          </w:tcPr>
          <w:p w:rsidR="00907DE1" w:rsidRPr="0050203D" w:rsidRDefault="00907DE1" w:rsidP="00C6787C">
            <w:pPr>
              <w:spacing w:after="60"/>
              <w:rPr>
                <w:rFonts w:cs="Tahoma"/>
                <w:sz w:val="24"/>
                <w:szCs w:val="24"/>
              </w:rPr>
            </w:pPr>
            <w:r w:rsidRPr="0050203D">
              <w:rPr>
                <w:rFonts w:cs="Tahoma"/>
                <w:sz w:val="24"/>
                <w:szCs w:val="24"/>
              </w:rPr>
              <w:t>About an hour</w:t>
            </w:r>
          </w:p>
        </w:tc>
      </w:tr>
    </w:tbl>
    <w:p w:rsidR="00D34649" w:rsidRDefault="00D34649" w:rsidP="0050203D">
      <w:pPr>
        <w:ind w:left="-709" w:right="-472"/>
        <w:rPr>
          <w:sz w:val="24"/>
          <w:szCs w:val="24"/>
        </w:rPr>
      </w:pPr>
    </w:p>
    <w:p w:rsidR="008831ED" w:rsidRPr="0050203D" w:rsidRDefault="008831ED" w:rsidP="0050203D">
      <w:pPr>
        <w:ind w:left="-709" w:right="-472"/>
        <w:rPr>
          <w:sz w:val="24"/>
          <w:szCs w:val="24"/>
        </w:rPr>
      </w:pPr>
      <w:r w:rsidRPr="0050203D">
        <w:rPr>
          <w:sz w:val="24"/>
          <w:szCs w:val="24"/>
        </w:rPr>
        <w:t>If you are interested in us coming to your group</w:t>
      </w:r>
      <w:r w:rsidR="00B36D70" w:rsidRPr="0050203D">
        <w:rPr>
          <w:sz w:val="24"/>
          <w:szCs w:val="24"/>
        </w:rPr>
        <w:t xml:space="preserve"> to offer any of the activities above, or for a tailor made activity, or if you like some more information please c</w:t>
      </w:r>
      <w:r w:rsidR="00D34649">
        <w:rPr>
          <w:sz w:val="24"/>
          <w:szCs w:val="24"/>
        </w:rPr>
        <w:t>ontact</w:t>
      </w:r>
      <w:r w:rsidR="00B36D70" w:rsidRPr="0050203D">
        <w:rPr>
          <w:sz w:val="24"/>
          <w:szCs w:val="24"/>
        </w:rPr>
        <w:t xml:space="preserve"> </w:t>
      </w:r>
      <w:r w:rsidR="00E353FC">
        <w:rPr>
          <w:sz w:val="24"/>
          <w:szCs w:val="24"/>
        </w:rPr>
        <w:t xml:space="preserve">our Education Team </w:t>
      </w:r>
      <w:r w:rsidR="00B36D70" w:rsidRPr="0050203D">
        <w:rPr>
          <w:sz w:val="24"/>
          <w:szCs w:val="24"/>
        </w:rPr>
        <w:t xml:space="preserve">on </w:t>
      </w:r>
      <w:r w:rsidR="00D34649">
        <w:rPr>
          <w:sz w:val="24"/>
          <w:szCs w:val="24"/>
        </w:rPr>
        <w:t xml:space="preserve"> </w:t>
      </w:r>
      <w:r w:rsidR="00E353FC">
        <w:rPr>
          <w:sz w:val="24"/>
          <w:szCs w:val="24"/>
        </w:rPr>
        <w:t xml:space="preserve"> </w:t>
      </w:r>
      <w:r w:rsidR="00E353FC">
        <w:rPr>
          <w:rFonts w:ascii="Arial" w:hAnsi="Arial" w:cs="Arial"/>
          <w:color w:val="000000"/>
          <w:sz w:val="20"/>
          <w:szCs w:val="20"/>
        </w:rPr>
        <w:t xml:space="preserve">01977 624 678 or </w:t>
      </w:r>
      <w:r w:rsidR="00D34649">
        <w:rPr>
          <w:sz w:val="24"/>
          <w:szCs w:val="24"/>
        </w:rPr>
        <w:t xml:space="preserve">by </w:t>
      </w:r>
      <w:r w:rsidR="00B36D70" w:rsidRPr="0050203D">
        <w:rPr>
          <w:sz w:val="24"/>
          <w:szCs w:val="24"/>
        </w:rPr>
        <w:t xml:space="preserve">email </w:t>
      </w:r>
      <w:r w:rsidR="00D34649">
        <w:rPr>
          <w:sz w:val="24"/>
          <w:szCs w:val="24"/>
        </w:rPr>
        <w:t xml:space="preserve">at </w:t>
      </w:r>
      <w:r w:rsidR="00E353FC">
        <w:rPr>
          <w:sz w:val="24"/>
          <w:szCs w:val="24"/>
        </w:rPr>
        <w:t>e</w:t>
      </w:r>
      <w:r w:rsidR="00E353FC" w:rsidRPr="00E353FC">
        <w:rPr>
          <w:sz w:val="24"/>
          <w:szCs w:val="24"/>
        </w:rPr>
        <w:t>ducation.wakefield@renewi.com</w:t>
      </w:r>
    </w:p>
    <w:sectPr w:rsidR="008831ED" w:rsidRPr="0050203D" w:rsidSect="00066D13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1A" w:rsidRDefault="009B5C1A" w:rsidP="009B5C1A">
      <w:r>
        <w:separator/>
      </w:r>
    </w:p>
  </w:endnote>
  <w:endnote w:type="continuationSeparator" w:id="0">
    <w:p w:rsidR="009B5C1A" w:rsidRDefault="009B5C1A" w:rsidP="009B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1A" w:rsidRDefault="009B5C1A" w:rsidP="009B5C1A">
      <w:r>
        <w:separator/>
      </w:r>
    </w:p>
  </w:footnote>
  <w:footnote w:type="continuationSeparator" w:id="0">
    <w:p w:rsidR="009B5C1A" w:rsidRDefault="009B5C1A" w:rsidP="009B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2"/>
    <w:rsid w:val="00066D13"/>
    <w:rsid w:val="000B7DBD"/>
    <w:rsid w:val="001F7D16"/>
    <w:rsid w:val="002B5F8F"/>
    <w:rsid w:val="0032768B"/>
    <w:rsid w:val="004D103E"/>
    <w:rsid w:val="0050203D"/>
    <w:rsid w:val="005C4832"/>
    <w:rsid w:val="00737CF3"/>
    <w:rsid w:val="008831ED"/>
    <w:rsid w:val="00907DE1"/>
    <w:rsid w:val="009B5C1A"/>
    <w:rsid w:val="00A50EED"/>
    <w:rsid w:val="00AB2BEF"/>
    <w:rsid w:val="00B36D70"/>
    <w:rsid w:val="00C7723A"/>
    <w:rsid w:val="00D34649"/>
    <w:rsid w:val="00D55849"/>
    <w:rsid w:val="00E13942"/>
    <w:rsid w:val="00E353FC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A442"/>
  <w15:docId w15:val="{5B5DF5C3-5F8F-4A99-9BC0-1F9A398F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C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5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C1A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802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West</dc:creator>
  <cp:lastModifiedBy>Moira Mattingley-Nunn</cp:lastModifiedBy>
  <cp:revision>3</cp:revision>
  <dcterms:created xsi:type="dcterms:W3CDTF">2018-11-12T09:35:00Z</dcterms:created>
  <dcterms:modified xsi:type="dcterms:W3CDTF">2020-01-14T11:31:00Z</dcterms:modified>
</cp:coreProperties>
</file>